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9B5760" w:rsidRPr="00960347" w:rsidRDefault="009B5760" w:rsidP="009B576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28.12.2018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192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2F6494" w:rsidRDefault="00A266AA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96034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відділу </w:t>
      </w:r>
      <w:r w:rsidR="00DA0B71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контролю (нагляду) за безпекою судноплавства і </w:t>
      </w:r>
      <w:proofErr w:type="spellStart"/>
      <w:r w:rsidR="00DA0B71">
        <w:rPr>
          <w:rFonts w:ascii="Times New Roman" w:hAnsi="Times New Roman" w:cs="Times New Roman"/>
          <w:sz w:val="28"/>
          <w:szCs w:val="28"/>
          <w:lang w:val="uk-UA"/>
        </w:rPr>
        <w:t>дипломно</w:t>
      </w:r>
      <w:proofErr w:type="spellEnd"/>
      <w:r w:rsidR="00DA0B71">
        <w:rPr>
          <w:rFonts w:ascii="Times New Roman" w:hAnsi="Times New Roman" w:cs="Times New Roman"/>
          <w:sz w:val="28"/>
          <w:szCs w:val="28"/>
          <w:lang w:val="uk-UA"/>
        </w:rPr>
        <w:t>-паспортних та адміністративних послуг у сфері водного транспорту в Маріупольському морському порту Чорноморсько-Азовського міжрегіонального управління</w:t>
      </w:r>
      <w:r w:rsidR="0096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2F649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9B5760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F" w:rsidRPr="009E1AAF" w:rsidRDefault="009E1AAF" w:rsidP="009E1AAF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в межах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Мангуського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Новоазовського районів, міста Маріуполя Донецької області: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безпеки на морському та річковому транспорті, надання передбачених законом адміністративних послуг, вносить пропозиції щодо її формування та вдосконалення.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морському та річковому транспорті, підготовку пропозицій щодо їх удосконалення, а також законодавства про судноплавство на суднах, у Маріупольському морському порту, </w:t>
            </w:r>
            <w:r w:rsidRPr="009E1AAF">
              <w:rPr>
                <w:rStyle w:val="2"/>
                <w:rFonts w:eastAsia="Calibri"/>
                <w:b w:val="0"/>
                <w:lang w:val="uk-UA"/>
              </w:rPr>
              <w:t xml:space="preserve">внутрішніх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заходи державного нагляду (контролю) за безпекою на морському та річковому транспорті та звітує перед керівництвом Управління.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Style w:val="2"/>
                <w:rFonts w:eastAsia="Calibri"/>
                <w:b w:val="0"/>
                <w:bCs w:val="0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E1AAF">
              <w:rPr>
                <w:rStyle w:val="2"/>
                <w:rFonts w:eastAsia="Calibri"/>
                <w:b w:val="0"/>
                <w:lang w:val="uk-UA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9E1AAF">
              <w:rPr>
                <w:rStyle w:val="2"/>
                <w:rFonts w:eastAsia="Calibri"/>
                <w:b w:val="0"/>
                <w:lang w:val="uk-UA"/>
              </w:rPr>
              <w:t>i щодо забезпечення збереження вантажів на морському та річковому транспорті.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9E1AAF">
              <w:rPr>
                <w:rStyle w:val="20"/>
                <w:rFonts w:eastAsia="Calibri"/>
                <w:lang w:val="uk-UA"/>
              </w:rPr>
              <w:t xml:space="preserve">морі,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9E1AAF">
              <w:rPr>
                <w:rStyle w:val="20"/>
                <w:rFonts w:eastAsia="Calibri"/>
                <w:lang w:val="uk-UA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риболовних суден).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порти України, територіальне море та внутрішні морські води, незалежно від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9E1AAF">
              <w:rPr>
                <w:rStyle w:val="20"/>
                <w:rFonts w:eastAsia="Calibri"/>
                <w:lang w:val="uk-UA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9E1AAF">
              <w:rPr>
                <w:rStyle w:val="20"/>
                <w:rFonts w:eastAsia="Calibri"/>
                <w:lang w:val="uk-UA"/>
              </w:rPr>
              <w:t>морі в зоні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Забезпечує здійснення контролю та нагляду за впровадженням та функціонуванням систем управління безпекою судноплавства на морському та річковому транспорті (крім суден флоту рибної промисловості).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 межах повноважень здійснює контроль і нагляд за функціонуванням систем радіонавігації та спостереження морської рухомої служби, у тому числі Глобальної морської системи зв’язку у разі лиха та для забезпечення безпеки та системи дальньої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ідентифікації та контролю за місцезнаходженням суден під Державним прапором.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річкових внутрішніх водних шляхах.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станом гідротехнічних споруд.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Веде облік пожеж на морському та річковому транспорті, що сталися у межах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Мангуського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Новоазовського районів, міста Маріуполя Донецької області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транспорті (крім суден флоту рибної промисловості), та здійснює контроль за виконанням таких приписів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здійснення реєстрації баз для стоянки маломірних (малих) суден.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Організовує роботу з формування повних пакетів документів та спрямування їх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про адміністративні послуги тощо.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Вносить в установленому порядку керівництву Управління та Морської адміністрації пропозиції щодо необхідності визначення форм документів у сфері дозвільно-ліцензійної діяльності та правил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ix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оформлення, удосконалення процедури видачі документів дозвільно-ліцензійного характеру.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Здійснює, у разі необхідності, перевірку інформації та аналізує подані</w:t>
            </w:r>
            <w:r w:rsidRPr="009E1AAF">
              <w:rPr>
                <w:rStyle w:val="2Candara12pt-1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для отримання суднових та реєстраційних документів, посвідчень,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витягів, інших документів, передбачених законодавством про адміністративні послуги.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відповідно до вимог законодавства завдань та функцій.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в межах повноважень в установленому порядку журнал обліку суден (крім риболовних суден), зареєстрованих у Судновій книзі України та Державному судновому реєстрі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в установленому здійснює реєстрацію суден у Судновій книзі України та Державному судновому реєстрі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межах повноважень здійснює контроль за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забезпечує роботу щодо видачі оформлення дипломів,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кваліфікаційних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підтверджень до них, посвідчень особи моряка та інших документів моряків.</w:t>
            </w:r>
          </w:p>
          <w:bookmarkEnd w:id="1"/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 та здійснює контроль за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proofErr w:type="spellStart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опрацюванні та погодженні правил плавання маломірними суднами на водних об’єктах.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риболовних суден).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Управління.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відповідність із законодавством, готує пропозиції керівництву Морської адміністрації щодо внесення до них змін,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скасування чи визнання такими, що втратили чинність.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дозвільного-ліцензійного характеру та з інших питань, що стосуються діяльності Відділу.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9E1AAF" w:rsidRPr="009E1AAF" w:rsidRDefault="009E1AAF" w:rsidP="009E1AA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9E1AAF" w:rsidRPr="009E1AAF" w:rsidRDefault="009E1AAF" w:rsidP="009E1AA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Дотримується Правил внутрішнього службового розпорядку Державної служби морського та річкового транспорту.</w:t>
            </w:r>
          </w:p>
          <w:p w:rsidR="00991EDB" w:rsidRDefault="009E1AAF" w:rsidP="004B4F7F">
            <w:pPr>
              <w:pStyle w:val="aa"/>
              <w:tabs>
                <w:tab w:val="left" w:pos="1560"/>
              </w:tabs>
              <w:spacing w:after="0"/>
              <w:ind w:left="0"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функції відповідно до доручень начальника Відділу</w:t>
            </w:r>
            <w:r w:rsidR="00991ED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91EDB" w:rsidRPr="009E1AAF" w:rsidRDefault="00991EDB" w:rsidP="00991EDB">
            <w:pPr>
              <w:pStyle w:val="aa"/>
              <w:tabs>
                <w:tab w:val="left" w:pos="15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51B2" w:rsidRPr="009B576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D34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5200</w:t>
            </w:r>
            <w:r w:rsidR="00D34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991EDB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B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9603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7) декларація особи, уповноваженої на виконання функцій держави або місцевого самоврядування, за 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991EDB" w:rsidRPr="002F6494" w:rsidRDefault="00960347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2" w:name="n301"/>
            <w:bookmarkEnd w:id="2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</w:tc>
      </w:tr>
      <w:tr w:rsidR="005A51B2" w:rsidRPr="009B576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991EDB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="009E4112"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3" w:name="n302"/>
            <w:bookmarkStart w:id="4" w:name="n303"/>
            <w:bookmarkEnd w:id="3"/>
            <w:bookmarkEnd w:id="4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5A51B2" w:rsidRPr="009B576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B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9B576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5" w:rsidRDefault="00347942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  <w:p w:rsidR="00991EDB" w:rsidRPr="002F6494" w:rsidRDefault="00991EDB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9B576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B" w:rsidRPr="002F6494" w:rsidRDefault="00347942" w:rsidP="002F649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lastRenderedPageBreak/>
              <w:t>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B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B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991EDB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91EDB" w:rsidRPr="002F6494" w:rsidRDefault="00991EDB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4B51AA" w:rsidRPr="002F6494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9B576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FD440C" w:rsidRPr="009B576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F" w:rsidRPr="009E1AAF" w:rsidRDefault="009E1AAF" w:rsidP="009E1AAF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Кодекс торговельного мореплавства України; </w:t>
            </w:r>
          </w:p>
          <w:p w:rsidR="009E1AAF" w:rsidRPr="009E1AAF" w:rsidRDefault="009E1AAF" w:rsidP="009E1AAF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E1AAF" w:rsidRPr="009E1AAF" w:rsidRDefault="009E1AAF" w:rsidP="009E1AAF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9E1AAF" w:rsidRPr="009E1AAF" w:rsidRDefault="009E1AAF" w:rsidP="009E1AAF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FD440C" w:rsidRPr="009E1AAF" w:rsidRDefault="009E1AAF" w:rsidP="009E1AAF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Правила контролю суден з метою забезпечення безпеки мореплавства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9E1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наказом Міністерства транспорту України від 17.07.2003 № 545 та зареєстровані в Міністерстві юстиції України 23.03.2004 за № 353/8952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7D7BA8" w:rsidRPr="009B576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8" w:rsidRPr="00301E70" w:rsidRDefault="007D7BA8" w:rsidP="007D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8" w:rsidRPr="00301E70" w:rsidRDefault="007D7BA8" w:rsidP="007D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A8" w:rsidRPr="00301E70" w:rsidRDefault="007D7BA8" w:rsidP="007D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2F6494" w:rsidRDefault="007B2082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FC" w:rsidRDefault="00052CFC" w:rsidP="00D50C6A">
      <w:pPr>
        <w:spacing w:after="0" w:line="240" w:lineRule="auto"/>
      </w:pPr>
      <w:r>
        <w:separator/>
      </w:r>
    </w:p>
  </w:endnote>
  <w:endnote w:type="continuationSeparator" w:id="0">
    <w:p w:rsidR="00052CFC" w:rsidRDefault="00052CFC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FC" w:rsidRDefault="00052CFC" w:rsidP="00D50C6A">
      <w:pPr>
        <w:spacing w:after="0" w:line="240" w:lineRule="auto"/>
      </w:pPr>
      <w:r>
        <w:separator/>
      </w:r>
    </w:p>
  </w:footnote>
  <w:footnote w:type="continuationSeparator" w:id="0">
    <w:p w:rsidR="00052CFC" w:rsidRDefault="00052CFC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5AFC"/>
    <w:multiLevelType w:val="multilevel"/>
    <w:tmpl w:val="97BEDC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3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10"/>
  </w:num>
  <w:num w:numId="8">
    <w:abstractNumId w:val="15"/>
  </w:num>
  <w:num w:numId="9">
    <w:abstractNumId w:val="0"/>
  </w:num>
  <w:num w:numId="10">
    <w:abstractNumId w:val="3"/>
  </w:num>
  <w:num w:numId="11">
    <w:abstractNumId w:val="6"/>
  </w:num>
  <w:num w:numId="12">
    <w:abstractNumId w:val="14"/>
  </w:num>
  <w:num w:numId="13">
    <w:abstractNumId w:val="7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52CFC"/>
    <w:rsid w:val="00096888"/>
    <w:rsid w:val="000D34A6"/>
    <w:rsid w:val="000E6E50"/>
    <w:rsid w:val="00116B49"/>
    <w:rsid w:val="001302D3"/>
    <w:rsid w:val="001611F8"/>
    <w:rsid w:val="00176D85"/>
    <w:rsid w:val="00181035"/>
    <w:rsid w:val="001B2B78"/>
    <w:rsid w:val="001C030A"/>
    <w:rsid w:val="001E0A68"/>
    <w:rsid w:val="001E4715"/>
    <w:rsid w:val="001E7D8C"/>
    <w:rsid w:val="001F3327"/>
    <w:rsid w:val="001F659F"/>
    <w:rsid w:val="00260DEB"/>
    <w:rsid w:val="00273826"/>
    <w:rsid w:val="002A2ADD"/>
    <w:rsid w:val="002D4F5D"/>
    <w:rsid w:val="002F6494"/>
    <w:rsid w:val="00326A00"/>
    <w:rsid w:val="00347942"/>
    <w:rsid w:val="00364A72"/>
    <w:rsid w:val="00380791"/>
    <w:rsid w:val="003E775A"/>
    <w:rsid w:val="00413DFC"/>
    <w:rsid w:val="00471A72"/>
    <w:rsid w:val="00476B03"/>
    <w:rsid w:val="00483192"/>
    <w:rsid w:val="004A2B74"/>
    <w:rsid w:val="004B4F7F"/>
    <w:rsid w:val="004B51AA"/>
    <w:rsid w:val="004D3F3B"/>
    <w:rsid w:val="004D66C3"/>
    <w:rsid w:val="0050132C"/>
    <w:rsid w:val="00515BDC"/>
    <w:rsid w:val="00533F25"/>
    <w:rsid w:val="00541273"/>
    <w:rsid w:val="005A51B2"/>
    <w:rsid w:val="006340C6"/>
    <w:rsid w:val="006E1F9E"/>
    <w:rsid w:val="00722AC0"/>
    <w:rsid w:val="00763B9C"/>
    <w:rsid w:val="007716CF"/>
    <w:rsid w:val="007778A4"/>
    <w:rsid w:val="007863A5"/>
    <w:rsid w:val="007B2082"/>
    <w:rsid w:val="007D7BA8"/>
    <w:rsid w:val="008068D0"/>
    <w:rsid w:val="008456E8"/>
    <w:rsid w:val="008706ED"/>
    <w:rsid w:val="008A5740"/>
    <w:rsid w:val="008F4550"/>
    <w:rsid w:val="00900097"/>
    <w:rsid w:val="00922BE4"/>
    <w:rsid w:val="00952AB9"/>
    <w:rsid w:val="00960347"/>
    <w:rsid w:val="00973889"/>
    <w:rsid w:val="00991EDB"/>
    <w:rsid w:val="00994822"/>
    <w:rsid w:val="00994ED1"/>
    <w:rsid w:val="009B5760"/>
    <w:rsid w:val="009B5982"/>
    <w:rsid w:val="009E1AAF"/>
    <w:rsid w:val="009E4112"/>
    <w:rsid w:val="009F1677"/>
    <w:rsid w:val="00A266AA"/>
    <w:rsid w:val="00A271F3"/>
    <w:rsid w:val="00A3304C"/>
    <w:rsid w:val="00A44D7C"/>
    <w:rsid w:val="00AA3BCA"/>
    <w:rsid w:val="00AF74DE"/>
    <w:rsid w:val="00B5171A"/>
    <w:rsid w:val="00B62B66"/>
    <w:rsid w:val="00C0198A"/>
    <w:rsid w:val="00C22A73"/>
    <w:rsid w:val="00CE5B2B"/>
    <w:rsid w:val="00D342AE"/>
    <w:rsid w:val="00D50C6A"/>
    <w:rsid w:val="00D63617"/>
    <w:rsid w:val="00D916A6"/>
    <w:rsid w:val="00DA0B71"/>
    <w:rsid w:val="00DB31C0"/>
    <w:rsid w:val="00DD41D5"/>
    <w:rsid w:val="00E06A13"/>
    <w:rsid w:val="00E767AC"/>
    <w:rsid w:val="00EB1A60"/>
    <w:rsid w:val="00F559F9"/>
    <w:rsid w:val="00F844A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9E1A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70B5-824F-4CE8-AC2C-A6770A45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11751</Words>
  <Characters>6699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7</cp:revision>
  <cp:lastPrinted>2018-12-27T10:59:00Z</cp:lastPrinted>
  <dcterms:created xsi:type="dcterms:W3CDTF">2018-12-26T14:24:00Z</dcterms:created>
  <dcterms:modified xsi:type="dcterms:W3CDTF">2018-12-28T14:34:00Z</dcterms:modified>
</cp:coreProperties>
</file>